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Βασικό"/>
      </w:pPr>
    </w:p>
    <w:p>
      <w:pPr>
        <w:pStyle w:val="Βασικό"/>
      </w:pPr>
    </w:p>
    <w:p>
      <w:pPr>
        <w:pStyle w:val="Βασικό"/>
      </w:pPr>
    </w:p>
    <w:p>
      <w:pPr>
        <w:pStyle w:val="Βασικό"/>
      </w:pPr>
    </w:p>
    <w:p>
      <w:pPr>
        <w:pStyle w:val="Βασικό"/>
      </w:pPr>
    </w:p>
    <w:p>
      <w:pPr>
        <w:pStyle w:val="Επικεφαλίδα 2"/>
        <w:rPr>
          <w:u w:val="double"/>
        </w:rPr>
      </w:pPr>
    </w:p>
    <w:p>
      <w:pPr>
        <w:pStyle w:val="Επικεφαλίδα 2"/>
        <w:rPr>
          <w:i w:val="0"/>
          <w:iCs w:val="0"/>
          <w:sz w:val="32"/>
          <w:szCs w:val="32"/>
        </w:rPr>
      </w:pPr>
      <w:r>
        <w:rPr>
          <w:i w:val="0"/>
          <w:iCs w:val="0"/>
          <w:sz w:val="32"/>
          <w:szCs w:val="32"/>
          <w:rtl w:val="0"/>
        </w:rPr>
        <w:t xml:space="preserve">ΚΕΦΑΛΑΙΟ </w:t>
      </w:r>
      <w:r>
        <w:rPr>
          <w:i w:val="0"/>
          <w:iCs w:val="0"/>
          <w:sz w:val="32"/>
          <w:szCs w:val="32"/>
          <w:rtl w:val="0"/>
        </w:rPr>
        <w:t xml:space="preserve">1. </w:t>
      </w:r>
      <w:r>
        <w:rPr>
          <w:i w:val="0"/>
          <w:iCs w:val="0"/>
          <w:sz w:val="32"/>
          <w:szCs w:val="32"/>
          <w:rtl w:val="0"/>
        </w:rPr>
        <w:t>ΕΙΣΑΓΩΓΗ</w:t>
      </w:r>
    </w:p>
    <w:p>
      <w:pPr>
        <w:pStyle w:val="Βασικό"/>
      </w:pPr>
    </w:p>
    <w:p>
      <w:pPr>
        <w:pStyle w:val="Βασικό"/>
      </w:pPr>
    </w:p>
    <w:p>
      <w:pPr>
        <w:pStyle w:val="Βασικό"/>
      </w:pPr>
    </w:p>
    <w:p>
      <w:pPr>
        <w:pStyle w:val="Βασικό"/>
      </w:pPr>
    </w:p>
    <w:p>
      <w:pPr>
        <w:pStyle w:val="Επικεφαλίδα 1"/>
        <w:numPr>
          <w:ilvl w:val="1"/>
          <w:numId w:val="2"/>
        </w:numPr>
        <w:bidi w:val="0"/>
        <w:spacing w:line="360" w:lineRule="auto"/>
        <w:ind w:right="0"/>
        <w:jc w:val="both"/>
        <w:rPr>
          <w:b w:val="1"/>
          <w:bCs w:val="1"/>
          <w:i w:val="0"/>
          <w:iCs w:val="0"/>
          <w:rtl w:val="0"/>
        </w:rPr>
      </w:pPr>
      <w:r>
        <w:rPr>
          <w:b w:val="1"/>
          <w:bCs w:val="1"/>
          <w:i w:val="0"/>
          <w:iCs w:val="0"/>
          <w:caps w:val="1"/>
          <w:rtl w:val="0"/>
        </w:rPr>
        <w:t>Βασικες έννοιες του ΠαλαιοΜαγνητισμου</w:t>
      </w:r>
    </w:p>
    <w:p>
      <w:pPr>
        <w:pStyle w:val="Βασικό"/>
      </w:pPr>
      <w:r>
        <w:rPr>
          <w:rtl w:val="0"/>
        </w:rPr>
        <w:t xml:space="preserve"> </w:t>
      </w:r>
    </w:p>
    <w:p>
      <w:pPr>
        <w:pStyle w:val="Επικεφαλίδα 1"/>
        <w:numPr>
          <w:ilvl w:val="2"/>
          <w:numId w:val="4"/>
        </w:numPr>
        <w:bidi w:val="0"/>
        <w:spacing w:line="360" w:lineRule="auto"/>
        <w:ind w:right="0"/>
        <w:jc w:val="both"/>
        <w:rPr>
          <w:b w:val="1"/>
          <w:bCs w:val="1"/>
          <w:i w:val="0"/>
          <w:iCs w:val="0"/>
          <w:rtl w:val="0"/>
        </w:rPr>
      </w:pPr>
      <w:r>
        <w:rPr>
          <w:b w:val="1"/>
          <w:bCs w:val="1"/>
          <w:i w:val="0"/>
          <w:iCs w:val="0"/>
          <w:rtl w:val="0"/>
        </w:rPr>
        <w:t>Βασικές Στοιχεία Του Μαγνητικού Πεδίου</w:t>
      </w:r>
    </w:p>
    <w:p>
      <w:pPr>
        <w:pStyle w:val="Επικεφαλίδα 1"/>
        <w:spacing w:line="360" w:lineRule="auto"/>
        <w:ind w:firstLine="360"/>
        <w:jc w:val="both"/>
        <w:rPr>
          <w:i w:val="0"/>
          <w:iCs w:val="0"/>
        </w:rPr>
      </w:pPr>
      <w:r>
        <w:rPr>
          <w:i w:val="0"/>
          <w:iCs w:val="0"/>
          <w:rtl w:val="0"/>
        </w:rPr>
        <w:t>Όλα τα πετρώματα εμφανίζουν κάποιες μαγνητικές ιδιότητες λόγω της παρουσίας διαφόρων οξειδίων του σιδήρου</w:t>
      </w:r>
      <w:r>
        <w:rPr>
          <w:i w:val="0"/>
          <w:iCs w:val="0"/>
          <w:rtl w:val="0"/>
        </w:rPr>
        <w:t xml:space="preserve">, </w:t>
      </w:r>
      <w:r>
        <w:rPr>
          <w:i w:val="0"/>
          <w:iCs w:val="0"/>
          <w:rtl w:val="0"/>
        </w:rPr>
        <w:t>παρόλο που στη σύσταση τους κυριαρχούν τα μη μαγνητικά ορυκτά</w:t>
      </w:r>
      <w:r>
        <w:rPr>
          <w:i w:val="0"/>
          <w:iCs w:val="0"/>
          <w:rtl w:val="0"/>
        </w:rPr>
        <w:t xml:space="preserve">. </w:t>
      </w:r>
      <w:r>
        <w:rPr>
          <w:i w:val="0"/>
          <w:iCs w:val="0"/>
          <w:rtl w:val="0"/>
        </w:rPr>
        <w:t xml:space="preserve">Η μαγνήτιση αυτών των ορυκτών ονομάζεται ‘απολιθωμένος μαγνητισμός’ και αν αποκτηθεί κατά τη διάρκεια της δημιουργίας του πετρώματος λειτουργεί ως ‘απολιθωμένη πυξίδα’ η οποία μπορεί να χρησιμοποιηθεί ώστε να καθοριστούν τόσο η διεύθυνση όσο και η ένταση του γεωμαγνητικού πεδίου στο παρελθόν </w:t>
      </w:r>
      <w:r>
        <w:rPr>
          <w:i w:val="0"/>
          <w:iCs w:val="0"/>
          <w:rtl w:val="0"/>
        </w:rPr>
        <w:t>(</w:t>
      </w:r>
      <w:r>
        <w:rPr>
          <w:i w:val="0"/>
          <w:iCs w:val="0"/>
          <w:rtl w:val="0"/>
          <w:lang w:val="en-US"/>
        </w:rPr>
        <w:t>Hall</w:t>
      </w:r>
      <w:r>
        <w:rPr>
          <w:i w:val="0"/>
          <w:iCs w:val="0"/>
          <w:rtl w:val="0"/>
        </w:rPr>
        <w:t xml:space="preserve"> &amp; </w:t>
      </w:r>
      <w:r>
        <w:rPr>
          <w:i w:val="0"/>
          <w:iCs w:val="0"/>
          <w:rtl w:val="0"/>
          <w:lang w:val="en-US"/>
        </w:rPr>
        <w:t>Evans</w:t>
      </w:r>
      <w:r>
        <w:rPr>
          <w:i w:val="0"/>
          <w:iCs w:val="0"/>
          <w:rtl w:val="0"/>
        </w:rPr>
        <w:t xml:space="preserve"> 1995). </w:t>
      </w:r>
      <w:r>
        <w:rPr>
          <w:i w:val="0"/>
          <w:iCs w:val="0"/>
          <w:rtl w:val="0"/>
        </w:rPr>
        <w:t>Η μελέτη του απολιθωμένου μαγνητισμού ονομάζεται παλαιομαγνητισμός και αποτελεί μία μέθοδο διερεύνησης της ιστορίας του γεωμαγνητικού πεδίου όπως αυτή καταγράφηκε κατά τη διάρκεια των γεωλογικών αιώνων</w:t>
      </w:r>
      <w:r>
        <w:rPr>
          <w:i w:val="0"/>
          <w:iCs w:val="0"/>
          <w:rtl w:val="0"/>
        </w:rPr>
        <w:t xml:space="preserve">. </w:t>
      </w:r>
      <w:r>
        <w:rPr>
          <w:i w:val="0"/>
          <w:iCs w:val="0"/>
          <w:rtl w:val="0"/>
        </w:rPr>
        <w:t xml:space="preserve">Αντίθετα ο αρχαιομαγνητισμός έχει σαν αντικείμενο τη μελέτη της παραμένουσας μαγνήτισης στα αρχαιολογικά αντικείμενα και δομές και συνεισφέρει έτσι στη γνώση του γεωμαγνητικού πεδίου κατά τους πρόσφατους ιστορικούς χρόνους δίνοντας πληροφορίες άμεσου αρχαιολογικού και γεωφυσικού ενδιαφέροντος </w:t>
      </w:r>
      <w:r>
        <w:rPr>
          <w:i w:val="0"/>
          <w:iCs w:val="0"/>
          <w:rtl w:val="0"/>
        </w:rPr>
        <w:t xml:space="preserve">(Anson </w:t>
      </w:r>
      <w:r>
        <w:rPr>
          <w:i w:val="0"/>
          <w:iCs w:val="0"/>
          <w:rtl w:val="0"/>
          <w:lang w:val="en-US"/>
        </w:rPr>
        <w:t>and</w:t>
      </w:r>
      <w:r>
        <w:rPr>
          <w:i w:val="0"/>
          <w:iCs w:val="0"/>
          <w:rtl w:val="0"/>
        </w:rPr>
        <w:t xml:space="preserve"> Kodama 1987, </w:t>
      </w:r>
      <w:r>
        <w:rPr>
          <w:i w:val="0"/>
          <w:iCs w:val="0"/>
          <w:rtl w:val="0"/>
        </w:rPr>
        <w:t xml:space="preserve">Παπαδόπουλος </w:t>
      </w:r>
      <w:r>
        <w:rPr>
          <w:i w:val="0"/>
          <w:iCs w:val="0"/>
          <w:rtl w:val="0"/>
        </w:rPr>
        <w:t xml:space="preserve">1997). </w:t>
      </w:r>
      <w:r>
        <w:rPr>
          <w:i w:val="0"/>
          <w:iCs w:val="0"/>
          <w:rtl w:val="0"/>
        </w:rPr>
        <w:t xml:space="preserve">Κατά τον Παπαδόπουλο </w:t>
      </w:r>
      <w:r>
        <w:rPr>
          <w:i w:val="0"/>
          <w:iCs w:val="0"/>
          <w:rtl w:val="0"/>
        </w:rPr>
        <w:t xml:space="preserve">(1997) </w:t>
      </w:r>
      <w:r>
        <w:rPr>
          <w:i w:val="0"/>
          <w:iCs w:val="0"/>
          <w:rtl w:val="0"/>
        </w:rPr>
        <w:t>ωστόσο οι τεχνικές που εφαρμόζονται στις αρχαιομαγνητικές μελέτες δε διαφέρουν από αυτές του παλαιομαγνητισμού</w:t>
      </w:r>
      <w:r>
        <w:rPr>
          <w:b w:val="1"/>
          <w:bCs w:val="1"/>
          <w:i w:val="0"/>
          <w:iCs w:val="0"/>
          <w:rtl w:val="0"/>
        </w:rPr>
        <w:t>.</w:t>
      </w:r>
    </w:p>
    <w:p>
      <w:pPr>
        <w:pStyle w:val="Βασικό"/>
        <w:spacing w:line="360" w:lineRule="auto"/>
        <w:ind w:firstLine="360"/>
        <w:jc w:val="both"/>
      </w:pPr>
      <w:r>
        <w:rPr>
          <w:rtl w:val="0"/>
        </w:rPr>
        <w:t xml:space="preserve">Τα βασικά στοιχεία του γεωμαγνητικού πεδίου είναι η απόκλιση </w:t>
      </w:r>
      <w:r>
        <w:rPr>
          <w:rtl w:val="0"/>
          <w:lang w:val="de-DE"/>
        </w:rPr>
        <w:t>D</w:t>
      </w:r>
      <w:r>
        <w:rPr>
          <w:rtl w:val="0"/>
        </w:rPr>
        <w:t xml:space="preserve"> και η έγκλιση </w:t>
      </w:r>
      <w:r>
        <w:rPr>
          <w:rtl w:val="0"/>
        </w:rPr>
        <w:t>I (</w:t>
      </w:r>
      <w:r>
        <w:rPr>
          <w:rtl w:val="0"/>
        </w:rPr>
        <w:t xml:space="preserve">Σχήμα </w:t>
      </w:r>
      <w:r>
        <w:rPr>
          <w:rtl w:val="0"/>
        </w:rPr>
        <w:t xml:space="preserve">1.1). </w:t>
      </w:r>
      <w:r>
        <w:rPr>
          <w:rtl w:val="0"/>
        </w:rPr>
        <w:t>Η απόκλιση είναι η γωνία μεταξύ της συνισταμένης των συνιστωσών Χ</w:t>
      </w:r>
      <w:r>
        <w:rPr>
          <w:rtl w:val="0"/>
        </w:rPr>
        <w:t xml:space="preserve">, </w:t>
      </w:r>
      <w:r>
        <w:rPr>
          <w:rtl w:val="0"/>
        </w:rPr>
        <w:t xml:space="preserve">Υ του οριζόντιου επιπέδου </w:t>
      </w:r>
      <w:r>
        <w:rPr>
          <w:rtl w:val="0"/>
        </w:rPr>
        <w:t>(</w:t>
      </w:r>
      <w:r>
        <w:rPr>
          <w:rtl w:val="0"/>
        </w:rPr>
        <w:t>οριζόντια συνιστώσα Η της έντασης του πεδίου</w:t>
      </w:r>
      <w:r>
        <w:rPr>
          <w:rtl w:val="0"/>
        </w:rPr>
        <w:t xml:space="preserve">) </w:t>
      </w:r>
      <w:r>
        <w:rPr>
          <w:rtl w:val="0"/>
        </w:rPr>
        <w:t>και της συνιστώσας Χ του βορρά</w:t>
      </w:r>
      <w:r>
        <w:rPr>
          <w:rtl w:val="0"/>
        </w:rPr>
        <w:t xml:space="preserve">. </w:t>
      </w:r>
      <w:r>
        <w:rPr>
          <w:rtl w:val="0"/>
        </w:rPr>
        <w:t xml:space="preserve">Η έγκλιση είναι η γωνία μεταξύ της διεύθυνσης της ολικής μαγνήτισης </w:t>
      </w:r>
      <w:r>
        <w:rPr>
          <w:rtl w:val="0"/>
          <w:lang w:val="en-US"/>
        </w:rPr>
        <w:t>T</w:t>
      </w:r>
      <w:r>
        <w:rPr>
          <w:rtl w:val="0"/>
        </w:rPr>
        <w:t xml:space="preserve"> και του οριζόντιου επιπέδου </w:t>
      </w:r>
      <w:r>
        <w:rPr>
          <w:rtl w:val="0"/>
        </w:rPr>
        <w:t>(</w:t>
      </w:r>
      <w:r>
        <w:rPr>
          <w:rtl w:val="0"/>
          <w:lang w:val="en-US"/>
        </w:rPr>
        <w:t>IGRF</w:t>
      </w:r>
      <w:r>
        <w:rPr>
          <w:rtl w:val="0"/>
        </w:rPr>
        <w:t xml:space="preserve"> 2009).</w:t>
      </w:r>
      <w:r>
        <w:rPr>
          <w:b w:val="1"/>
          <w:bCs w:val="1"/>
          <w:rtl w:val="0"/>
        </w:rPr>
        <w:t xml:space="preserve"> </w:t>
      </w:r>
      <w:r>
        <w:rPr>
          <w:rtl w:val="0"/>
        </w:rPr>
        <w:t xml:space="preserve">Όλα τα στοιχεία που συλλέχθηκαν  από την περιοχή μελέτης </w:t>
      </w:r>
      <w:r>
        <w:rPr>
          <w:rtl w:val="0"/>
        </w:rPr>
        <w:t>(</w:t>
      </w:r>
      <w:r>
        <w:rPr>
          <w:rtl w:val="0"/>
        </w:rPr>
        <w:t>Παράρτημα Ι</w:t>
      </w:r>
      <w:r>
        <w:rPr>
          <w:rtl w:val="0"/>
          <w:lang w:val="en-US"/>
        </w:rPr>
        <w:t>V</w:t>
      </w:r>
      <w:r>
        <w:rPr>
          <w:rtl w:val="0"/>
        </w:rPr>
        <w:t xml:space="preserve">) </w:t>
      </w:r>
      <w:r>
        <w:rPr>
          <w:rtl w:val="0"/>
        </w:rPr>
        <w:t>συνοψίζονται  στον Πιν</w:t>
      </w:r>
      <w:r>
        <w:rPr>
          <w:rtl w:val="0"/>
        </w:rPr>
        <w:t>. 1.</w:t>
      </w:r>
    </w:p>
    <w:p>
      <w:pPr>
        <w:pStyle w:val="Βασικό"/>
        <w:spacing w:line="360" w:lineRule="auto"/>
        <w:jc w:val="both"/>
      </w:pPr>
    </w:p>
    <w:p>
      <w:pPr>
        <w:pStyle w:val="Βασικό"/>
        <w:spacing w:line="360" w:lineRule="auto"/>
        <w:jc w:val="both"/>
        <w:rPr>
          <w:sz w:val="22"/>
          <w:szCs w:val="22"/>
        </w:rPr>
      </w:pPr>
      <w:r>
        <w:rPr>
          <w:b w:val="1"/>
          <w:bCs w:val="1"/>
          <w:sz w:val="22"/>
          <w:szCs w:val="22"/>
          <w:rtl w:val="0"/>
        </w:rPr>
        <w:t xml:space="preserve">Πίνακας </w:t>
      </w:r>
      <w:r>
        <w:rPr>
          <w:b w:val="1"/>
          <w:bCs w:val="1"/>
          <w:sz w:val="22"/>
          <w:szCs w:val="22"/>
          <w:rtl w:val="0"/>
        </w:rPr>
        <w:t xml:space="preserve">1. </w:t>
      </w:r>
      <w:r>
        <w:rPr>
          <w:sz w:val="22"/>
          <w:szCs w:val="22"/>
          <w:rtl w:val="0"/>
        </w:rPr>
        <w:t>Μετρήσεις της έγκλισης και απόκλισης σε διάφορες θέσεις</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2880"/>
        <w:gridCol w:w="2880"/>
      </w:tblGrid>
      <w:tr>
        <w:tblPrEx>
          <w:shd w:val="clear" w:color="auto" w:fill="ced7e7"/>
        </w:tblPrEx>
        <w:trPr>
          <w:trHeight w:val="300" w:hRule="atLeast"/>
        </w:trPr>
        <w:tc>
          <w:tcPr>
            <w:tcW w:type="dxa" w:w="28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 xml:space="preserve">ΣΤΗΛΗ </w:t>
            </w:r>
            <w:r>
              <w:rPr>
                <w:shd w:val="nil" w:color="auto" w:fill="auto"/>
                <w:rtl w:val="0"/>
              </w:rPr>
              <w:t>1</w:t>
            </w:r>
          </w:p>
        </w:tc>
        <w:tc>
          <w:tcPr>
            <w:tcW w:type="dxa" w:w="28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 xml:space="preserve">ΣΤΗΛΗ </w:t>
            </w:r>
            <w:r>
              <w:rPr>
                <w:shd w:val="nil" w:color="auto" w:fill="auto"/>
                <w:rtl w:val="0"/>
              </w:rPr>
              <w:t>2</w:t>
            </w:r>
          </w:p>
        </w:tc>
        <w:tc>
          <w:tcPr>
            <w:tcW w:type="dxa" w:w="28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ΣΤΗΛΗ</w:t>
            </w:r>
            <w:r>
              <w:rPr>
                <w:shd w:val="nil" w:color="auto" w:fill="auto"/>
                <w:rtl w:val="0"/>
              </w:rPr>
              <w:t>3</w:t>
            </w:r>
          </w:p>
        </w:tc>
      </w:tr>
      <w:tr>
        <w:tblPrEx>
          <w:shd w:val="clear" w:color="auto" w:fill="ced7e7"/>
        </w:tblPrEx>
        <w:trPr>
          <w:trHeight w:val="295" w:hRule="atLeast"/>
        </w:trPr>
        <w:tc>
          <w:tcPr>
            <w:tcW w:type="dxa" w:w="288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1</w:t>
            </w:r>
          </w:p>
        </w:tc>
        <w:tc>
          <w:tcPr>
            <w:tcW w:type="dxa" w:w="288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25</w:t>
            </w:r>
          </w:p>
        </w:tc>
        <w:tc>
          <w:tcPr>
            <w:tcW w:type="dxa" w:w="288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356</w:t>
            </w:r>
          </w:p>
        </w:tc>
      </w:tr>
      <w:tr>
        <w:tblPrEx>
          <w:shd w:val="clear" w:color="auto" w:fill="ced7e7"/>
        </w:tblPrEx>
        <w:trPr>
          <w:trHeight w:val="29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2</w:t>
            </w:r>
          </w:p>
        </w:tc>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25</w:t>
            </w:r>
          </w:p>
        </w:tc>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356</w:t>
            </w:r>
          </w:p>
        </w:tc>
      </w:tr>
      <w:tr>
        <w:tblPrEx>
          <w:shd w:val="clear" w:color="auto" w:fill="ced7e7"/>
        </w:tblPrEx>
        <w:trPr>
          <w:trHeight w:val="29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3</w:t>
            </w:r>
          </w:p>
        </w:tc>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35</w:t>
            </w:r>
          </w:p>
        </w:tc>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356</w:t>
            </w:r>
          </w:p>
        </w:tc>
      </w:tr>
      <w:tr>
        <w:tblPrEx>
          <w:shd w:val="clear" w:color="auto" w:fill="ced7e7"/>
        </w:tblPrEx>
        <w:trPr>
          <w:trHeight w:val="295" w:hRule="atLeast"/>
        </w:trPr>
        <w:tc>
          <w:tcPr>
            <w:tcW w:type="dxa" w:w="288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4</w:t>
            </w:r>
          </w:p>
        </w:tc>
        <w:tc>
          <w:tcPr>
            <w:tcW w:type="dxa" w:w="288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54</w:t>
            </w:r>
          </w:p>
        </w:tc>
        <w:tc>
          <w:tcPr>
            <w:tcW w:type="dxa" w:w="288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Βασικό"/>
              <w:spacing w:line="360" w:lineRule="auto"/>
              <w:jc w:val="both"/>
            </w:pPr>
            <w:r>
              <w:rPr>
                <w:shd w:val="nil" w:color="auto" w:fill="auto"/>
                <w:rtl w:val="0"/>
              </w:rPr>
              <w:t>356</w:t>
            </w:r>
          </w:p>
        </w:tc>
      </w:tr>
    </w:tbl>
    <w:p>
      <w:pPr>
        <w:pStyle w:val="Βασικό"/>
        <w:widowControl w:val="0"/>
        <w:jc w:val="both"/>
        <w:rPr>
          <w:sz w:val="22"/>
          <w:szCs w:val="22"/>
        </w:rPr>
      </w:pPr>
    </w:p>
    <w:p>
      <w:pPr>
        <w:pStyle w:val="Βασικό"/>
        <w:spacing w:line="360" w:lineRule="auto"/>
        <w:jc w:val="both"/>
      </w:pPr>
    </w:p>
    <w:p>
      <w:pPr>
        <w:pStyle w:val="Βασικό"/>
        <w:spacing w:line="360" w:lineRule="auto"/>
        <w:ind w:firstLine="360"/>
        <w:jc w:val="both"/>
        <w:rPr>
          <w:b w:val="1"/>
          <w:bCs w:val="1"/>
        </w:rPr>
      </w:pPr>
      <w:r>
        <w:rPr>
          <w:rtl w:val="0"/>
        </w:rPr>
        <w:t xml:space="preserve">Σύμφωνα με τους </w:t>
      </w:r>
      <w:r>
        <w:rPr>
          <w:rtl w:val="0"/>
          <w:lang w:val="en-US"/>
        </w:rPr>
        <w:t>Anson</w:t>
      </w:r>
      <w:r>
        <w:rPr>
          <w:rtl w:val="0"/>
        </w:rPr>
        <w:t xml:space="preserve"> </w:t>
      </w:r>
      <w:r>
        <w:rPr>
          <w:rtl w:val="0"/>
          <w:lang w:val="en-US"/>
        </w:rPr>
        <w:t>and</w:t>
      </w:r>
      <w:r>
        <w:rPr>
          <w:rtl w:val="0"/>
        </w:rPr>
        <w:t xml:space="preserve"> </w:t>
      </w:r>
      <w:r>
        <w:rPr>
          <w:rtl w:val="0"/>
          <w:lang w:val="en-US"/>
        </w:rPr>
        <w:t>Kodama</w:t>
      </w:r>
      <w:r>
        <w:rPr>
          <w:rtl w:val="0"/>
        </w:rPr>
        <w:t xml:space="preserve"> (1987), </w:t>
      </w:r>
      <w:r>
        <w:rPr>
          <w:rtl w:val="0"/>
        </w:rPr>
        <w:t>η μαγνήτιση αυτών των ορυκτών ονομάζεται ‘απολιθωμένος μαγνητισμός’ και αν αποκτηθεί κατά τη διάρκεια της δημιουργίας του πετρώματος λειτουργεί ως ‘απολιθωμένη πυξίδα’</w:t>
      </w:r>
      <w:r>
        <w:rPr>
          <w:rtl w:val="0"/>
        </w:rPr>
        <w:t xml:space="preserve">. </w:t>
      </w:r>
      <w:r>
        <w:rPr>
          <w:rtl w:val="0"/>
          <w:lang w:val="en-US"/>
        </w:rPr>
        <w:t>H</w:t>
      </w:r>
      <w:r>
        <w:rPr>
          <w:rtl w:val="0"/>
        </w:rPr>
        <w:t xml:space="preserve"> πυξίδα αυτή μπορεί να χρησιμοποιηθεί ώστε να καθοριστούν τόσο η διεύθυνση όσο και η ένταση του γεωμαγνητικού πεδίου στο παρελθόν </w:t>
      </w:r>
      <w:r>
        <w:rPr>
          <w:rtl w:val="0"/>
        </w:rPr>
        <w:t>(</w:t>
      </w:r>
      <w:r>
        <w:rPr>
          <w:rtl w:val="0"/>
          <w:lang w:val="en-US"/>
        </w:rPr>
        <w:t>Aidona</w:t>
      </w:r>
      <w:r>
        <w:rPr>
          <w:rtl w:val="0"/>
        </w:rPr>
        <w:t xml:space="preserve"> </w:t>
      </w:r>
      <w:r>
        <w:rPr>
          <w:rtl w:val="0"/>
          <w:lang w:val="en-US"/>
        </w:rPr>
        <w:t>et</w:t>
      </w:r>
      <w:r>
        <w:rPr>
          <w:rtl w:val="0"/>
        </w:rPr>
        <w:t xml:space="preserve"> </w:t>
      </w:r>
      <w:r>
        <w:rPr>
          <w:rtl w:val="0"/>
          <w:lang w:val="en-US"/>
        </w:rPr>
        <w:t>al</w:t>
      </w:r>
      <w:r>
        <w:rPr>
          <w:rtl w:val="0"/>
        </w:rPr>
        <w:t>. 1996).</w:t>
      </w:r>
    </w:p>
    <w:p>
      <w:pPr>
        <w:pStyle w:val="Βασικό"/>
        <w:spacing w:line="360" w:lineRule="auto"/>
        <w:jc w:val="both"/>
      </w:pPr>
    </w:p>
    <w:p>
      <w:pPr>
        <w:pStyle w:val="Βασικό"/>
        <w:spacing w:line="360" w:lineRule="auto"/>
        <w:jc w:val="both"/>
        <w:rPr>
          <w:b w:val="1"/>
          <w:bCs w:val="1"/>
        </w:rPr>
      </w:pPr>
    </w:p>
    <w:p>
      <w:pPr>
        <w:pStyle w:val="Βασικό"/>
        <w:spacing w:line="360" w:lineRule="auto"/>
        <w:jc w:val="both"/>
        <w:rPr>
          <w:b w:val="1"/>
          <w:bCs w:val="1"/>
        </w:rPr>
      </w:pPr>
    </w:p>
    <w:p>
      <w:pPr>
        <w:pStyle w:val="Βασικό"/>
        <w:spacing w:line="360" w:lineRule="auto"/>
        <w:jc w:val="center"/>
        <w:rPr>
          <w:b w:val="1"/>
          <w:bCs w:val="1"/>
        </w:rPr>
      </w:pPr>
      <w:r>
        <w:rPr>
          <w:b w:val="1"/>
          <w:bCs w:val="1"/>
        </w:rPr>
        <w:drawing xmlns:a="http://schemas.openxmlformats.org/drawingml/2006/main">
          <wp:inline distT="0" distB="0" distL="0" distR="0">
            <wp:extent cx="2222594" cy="2421422"/>
            <wp:effectExtent l="0" t="0" r="0" b="0"/>
            <wp:docPr id="1073741827" name="officeArt object" descr="..\PHD\doc\figures\sx1.wmf"/>
            <wp:cNvGraphicFramePr/>
            <a:graphic xmlns:a="http://schemas.openxmlformats.org/drawingml/2006/main">
              <a:graphicData uri="http://schemas.openxmlformats.org/drawingml/2006/picture">
                <pic:pic xmlns:pic="http://schemas.openxmlformats.org/drawingml/2006/picture">
                  <pic:nvPicPr>
                    <pic:cNvPr id="1073741827" name="..\PHD\doc\figures\sx1.wmf" descr="..\PHD\doc\figures\sx1.wmf"/>
                    <pic:cNvPicPr>
                      <a:picLocks noChangeAspect="1"/>
                    </pic:cNvPicPr>
                  </pic:nvPicPr>
                  <pic:blipFill>
                    <a:blip r:embed="rId4">
                      <a:extLst/>
                    </a:blip>
                    <a:stretch>
                      <a:fillRect/>
                    </a:stretch>
                  </pic:blipFill>
                  <pic:spPr>
                    <a:xfrm>
                      <a:off x="0" y="0"/>
                      <a:ext cx="2222594" cy="2421422"/>
                    </a:xfrm>
                    <a:prstGeom prst="rect">
                      <a:avLst/>
                    </a:prstGeom>
                    <a:ln w="12700" cap="flat">
                      <a:noFill/>
                      <a:miter lim="400000"/>
                    </a:ln>
                    <a:effectLst/>
                  </pic:spPr>
                </pic:pic>
              </a:graphicData>
            </a:graphic>
          </wp:inline>
        </w:drawing>
      </w:r>
    </w:p>
    <w:p>
      <w:pPr>
        <w:pStyle w:val="Λεζάντα"/>
        <w:ind w:left="720" w:hanging="720"/>
        <w:rPr>
          <w:b w:val="0"/>
          <w:bCs w:val="0"/>
          <w:sz w:val="22"/>
          <w:szCs w:val="22"/>
        </w:rPr>
      </w:pPr>
      <w:r>
        <w:rPr>
          <w:sz w:val="22"/>
          <w:szCs w:val="22"/>
          <w:rtl w:val="0"/>
        </w:rPr>
        <w:t xml:space="preserve">Σχήμα </w:t>
      </w:r>
      <w:r>
        <w:rPr>
          <w:sz w:val="22"/>
          <w:szCs w:val="22"/>
          <w:rtl w:val="0"/>
        </w:rPr>
        <w:t xml:space="preserve">1.1. </w:t>
      </w:r>
      <w:r>
        <w:rPr>
          <w:b w:val="0"/>
          <w:bCs w:val="0"/>
          <w:sz w:val="22"/>
          <w:szCs w:val="22"/>
          <w:rtl w:val="0"/>
        </w:rPr>
        <w:t xml:space="preserve">Στοιχεία του γεωμαγνητικού πεδίου σύμφωνα με τους </w:t>
      </w:r>
      <w:r>
        <w:rPr>
          <w:b w:val="0"/>
          <w:bCs w:val="0"/>
          <w:rtl w:val="0"/>
          <w:lang w:val="en-US"/>
        </w:rPr>
        <w:t>Hall</w:t>
      </w:r>
      <w:r>
        <w:rPr>
          <w:b w:val="0"/>
          <w:bCs w:val="0"/>
          <w:rtl w:val="0"/>
        </w:rPr>
        <w:t xml:space="preserve"> &amp; </w:t>
      </w:r>
      <w:r>
        <w:rPr>
          <w:b w:val="0"/>
          <w:bCs w:val="0"/>
          <w:rtl w:val="0"/>
          <w:lang w:val="en-US"/>
        </w:rPr>
        <w:t>Evans</w:t>
      </w:r>
      <w:r>
        <w:rPr>
          <w:b w:val="0"/>
          <w:bCs w:val="0"/>
          <w:rtl w:val="0"/>
        </w:rPr>
        <w:t xml:space="preserve"> (1995)</w:t>
      </w:r>
      <w:r>
        <w:rPr>
          <w:b w:val="0"/>
          <w:bCs w:val="0"/>
          <w:sz w:val="22"/>
          <w:szCs w:val="22"/>
          <w:rtl w:val="0"/>
        </w:rPr>
        <w:t xml:space="preserve">. </w:t>
      </w:r>
      <w:r>
        <w:rPr>
          <w:b w:val="0"/>
          <w:bCs w:val="0"/>
          <w:sz w:val="22"/>
          <w:szCs w:val="22"/>
          <w:rtl w:val="0"/>
        </w:rPr>
        <w:t>Η απόκλιση είναι η γωνία μεταξύ της συνισταμένης των συνιστωσών Χ</w:t>
      </w:r>
      <w:r>
        <w:rPr>
          <w:b w:val="0"/>
          <w:bCs w:val="0"/>
          <w:sz w:val="22"/>
          <w:szCs w:val="22"/>
          <w:rtl w:val="0"/>
        </w:rPr>
        <w:t xml:space="preserve">, </w:t>
      </w:r>
      <w:r>
        <w:rPr>
          <w:b w:val="0"/>
          <w:bCs w:val="0"/>
          <w:sz w:val="22"/>
          <w:szCs w:val="22"/>
          <w:rtl w:val="0"/>
        </w:rPr>
        <w:t xml:space="preserve">Υ του οριζόντιου επιπέδου </w:t>
      </w:r>
      <w:r>
        <w:rPr>
          <w:b w:val="0"/>
          <w:bCs w:val="0"/>
          <w:sz w:val="22"/>
          <w:szCs w:val="22"/>
          <w:rtl w:val="0"/>
        </w:rPr>
        <w:t>(</w:t>
      </w:r>
      <w:r>
        <w:rPr>
          <w:b w:val="0"/>
          <w:bCs w:val="0"/>
          <w:sz w:val="22"/>
          <w:szCs w:val="22"/>
          <w:rtl w:val="0"/>
        </w:rPr>
        <w:t>οριζόντια συνιστώσα Η της έντασης του πεδίου</w:t>
      </w:r>
      <w:r>
        <w:rPr>
          <w:b w:val="0"/>
          <w:bCs w:val="0"/>
          <w:sz w:val="22"/>
          <w:szCs w:val="22"/>
          <w:rtl w:val="0"/>
        </w:rPr>
        <w:t xml:space="preserve">) </w:t>
      </w:r>
      <w:r>
        <w:rPr>
          <w:b w:val="0"/>
          <w:bCs w:val="0"/>
          <w:sz w:val="22"/>
          <w:szCs w:val="22"/>
          <w:rtl w:val="0"/>
        </w:rPr>
        <w:t xml:space="preserve">και της συνιστώσας Χ του βορρά </w:t>
      </w:r>
      <w:r>
        <w:rPr>
          <w:b w:val="0"/>
          <w:bCs w:val="0"/>
          <w:sz w:val="22"/>
          <w:szCs w:val="22"/>
          <w:rtl w:val="0"/>
        </w:rPr>
        <w:t>(</w:t>
      </w:r>
      <w:r>
        <w:rPr>
          <w:b w:val="0"/>
          <w:bCs w:val="0"/>
          <w:rtl w:val="0"/>
        </w:rPr>
        <w:t xml:space="preserve">Anson </w:t>
      </w:r>
      <w:r>
        <w:rPr>
          <w:b w:val="0"/>
          <w:bCs w:val="0"/>
          <w:rtl w:val="0"/>
          <w:lang w:val="en-US"/>
        </w:rPr>
        <w:t>and</w:t>
      </w:r>
      <w:r>
        <w:rPr>
          <w:b w:val="0"/>
          <w:bCs w:val="0"/>
          <w:rtl w:val="0"/>
        </w:rPr>
        <w:t xml:space="preserve"> Kodama 1987).</w:t>
      </w:r>
    </w:p>
    <w:p>
      <w:pPr>
        <w:pStyle w:val="Βασικό"/>
        <w:spacing w:line="432" w:lineRule="auto"/>
        <w:jc w:val="both"/>
        <w:rPr>
          <w:b w:val="1"/>
          <w:bCs w:val="1"/>
          <w:sz w:val="32"/>
          <w:szCs w:val="32"/>
        </w:rPr>
      </w:pPr>
      <w:r>
        <w:rPr>
          <w:b w:val="1"/>
          <w:bCs w:val="1"/>
          <w:sz w:val="32"/>
          <w:szCs w:val="32"/>
          <w:rtl w:val="0"/>
        </w:rPr>
        <w:t>ΒΙΒΛΙΟΓΡΑΦΙΑ</w:t>
      </w:r>
    </w:p>
    <w:p>
      <w:pPr>
        <w:pStyle w:val="Βασικό"/>
        <w:spacing w:line="432" w:lineRule="auto"/>
        <w:ind w:left="720" w:hanging="720"/>
        <w:jc w:val="both"/>
        <w:rPr>
          <w:b w:val="1"/>
          <w:bCs w:val="1"/>
        </w:rPr>
      </w:pPr>
    </w:p>
    <w:p>
      <w:pPr>
        <w:pStyle w:val="Βασικό"/>
        <w:spacing w:line="432" w:lineRule="auto"/>
        <w:ind w:left="720" w:hanging="720"/>
        <w:jc w:val="both"/>
      </w:pPr>
      <w:r>
        <w:rPr>
          <w:rtl w:val="0"/>
          <w:lang w:val="en-US"/>
        </w:rPr>
        <w:t>Aidona</w:t>
      </w:r>
      <w:r>
        <w:rPr>
          <w:rtl w:val="0"/>
        </w:rPr>
        <w:t xml:space="preserve">, </w:t>
      </w:r>
      <w:r>
        <w:rPr>
          <w:rtl w:val="0"/>
          <w:lang w:val="en-US"/>
        </w:rPr>
        <w:t>E</w:t>
      </w:r>
      <w:r>
        <w:rPr>
          <w:rtl w:val="0"/>
        </w:rPr>
        <w:t xml:space="preserve">., </w:t>
      </w:r>
      <w:r>
        <w:rPr>
          <w:rtl w:val="0"/>
          <w:lang w:val="en-US"/>
        </w:rPr>
        <w:t>Kondopoulou</w:t>
      </w:r>
      <w:r>
        <w:rPr>
          <w:rtl w:val="0"/>
        </w:rPr>
        <w:t xml:space="preserve">, </w:t>
      </w:r>
      <w:r>
        <w:rPr>
          <w:rtl w:val="0"/>
          <w:lang w:val="en-US"/>
        </w:rPr>
        <w:t>D</w:t>
      </w:r>
      <w:r>
        <w:rPr>
          <w:rtl w:val="0"/>
        </w:rPr>
        <w:t xml:space="preserve">., </w:t>
      </w:r>
      <w:r>
        <w:rPr>
          <w:rtl w:val="0"/>
          <w:lang w:val="en-US"/>
        </w:rPr>
        <w:t>Koufos</w:t>
      </w:r>
      <w:r>
        <w:rPr>
          <w:rtl w:val="0"/>
        </w:rPr>
        <w:t xml:space="preserve">, </w:t>
      </w:r>
      <w:r>
        <w:rPr>
          <w:rtl w:val="0"/>
          <w:lang w:val="en-US"/>
        </w:rPr>
        <w:t>G</w:t>
      </w:r>
      <w:r>
        <w:rPr>
          <w:rtl w:val="0"/>
        </w:rPr>
        <w:t xml:space="preserve">. </w:t>
      </w:r>
      <w:r>
        <w:rPr>
          <w:rtl w:val="0"/>
          <w:lang w:val="en-US"/>
        </w:rPr>
        <w:t>and</w:t>
      </w:r>
      <w:r>
        <w:rPr>
          <w:rtl w:val="0"/>
        </w:rPr>
        <w:t xml:space="preserve"> </w:t>
      </w:r>
      <w:r>
        <w:rPr>
          <w:rtl w:val="0"/>
          <w:lang w:val="en-US"/>
        </w:rPr>
        <w:t>Sen</w:t>
      </w:r>
      <w:r>
        <w:rPr>
          <w:rtl w:val="0"/>
        </w:rPr>
        <w:t xml:space="preserve"> </w:t>
      </w:r>
      <w:r>
        <w:rPr>
          <w:rtl w:val="0"/>
          <w:lang w:val="en-US"/>
        </w:rPr>
        <w:t>S</w:t>
      </w:r>
      <w:r>
        <w:rPr>
          <w:rtl w:val="0"/>
        </w:rPr>
        <w:t xml:space="preserve">., 1996. </w:t>
      </w:r>
      <w:r>
        <w:rPr>
          <w:rtl w:val="0"/>
          <w:lang w:val="en-US"/>
        </w:rPr>
        <w:t xml:space="preserve">Magnetostratigraphy of late Miocene continental deposits in the Lower Axios Valley (Greece). </w:t>
      </w:r>
      <w:r>
        <w:rPr>
          <w:i w:val="1"/>
          <w:iCs w:val="1"/>
          <w:rtl w:val="0"/>
          <w:lang w:val="en-US"/>
        </w:rPr>
        <w:t>1</w:t>
      </w:r>
      <w:r>
        <w:rPr>
          <w:i w:val="1"/>
          <w:iCs w:val="1"/>
          <w:vertAlign w:val="superscript"/>
          <w:rtl w:val="0"/>
          <w:lang w:val="en-US"/>
        </w:rPr>
        <w:t>st</w:t>
      </w:r>
      <w:r>
        <w:rPr>
          <w:i w:val="1"/>
          <w:iCs w:val="1"/>
          <w:rtl w:val="0"/>
          <w:lang w:val="en-US"/>
        </w:rPr>
        <w:t xml:space="preserve"> Congress of the Balkan Geophysical Society,</w:t>
      </w:r>
      <w:r>
        <w:rPr>
          <w:i w:val="1"/>
          <w:iCs w:val="1"/>
          <w:rtl w:val="0"/>
        </w:rPr>
        <w:t xml:space="preserve"> 14-17 </w:t>
      </w:r>
      <w:r>
        <w:rPr>
          <w:i w:val="1"/>
          <w:iCs w:val="1"/>
          <w:rtl w:val="0"/>
          <w:lang w:val="en-US"/>
        </w:rPr>
        <w:t>May 1996, Athens.</w:t>
      </w:r>
    </w:p>
    <w:p>
      <w:pPr>
        <w:pStyle w:val="Βασικό"/>
        <w:spacing w:line="432" w:lineRule="auto"/>
        <w:ind w:left="720" w:hanging="720"/>
        <w:jc w:val="both"/>
      </w:pPr>
      <w:r>
        <w:rPr>
          <w:rtl w:val="0"/>
          <w:lang w:val="en-US"/>
        </w:rPr>
        <w:t xml:space="preserve">Anson, G. L., and Kodama, K. P., 1987. Compaction-induced inclination swallowing of the post-depositional remanent magnetization in a synthetic sediment. </w:t>
      </w:r>
      <w:r>
        <w:rPr>
          <w:i w:val="1"/>
          <w:iCs w:val="1"/>
          <w:rtl w:val="0"/>
          <w:lang w:val="en-US"/>
        </w:rPr>
        <w:t>Geophysical Journal International,</w:t>
      </w:r>
      <w:r>
        <w:rPr>
          <w:rtl w:val="0"/>
          <w:lang w:val="en-US"/>
        </w:rPr>
        <w:t xml:space="preserve"> 88, 673-692.</w:t>
      </w:r>
    </w:p>
    <w:p>
      <w:pPr>
        <w:pStyle w:val="Βασικό"/>
        <w:spacing w:line="432" w:lineRule="auto"/>
        <w:ind w:left="720" w:hanging="720"/>
        <w:jc w:val="both"/>
      </w:pPr>
      <w:r>
        <w:rPr>
          <w:rtl w:val="0"/>
          <w:lang w:val="en-US"/>
        </w:rPr>
        <w:t xml:space="preserve">Hall, S. A. and Evans, I., 1995. Palaeomagnetic and rock magnetic properties of hydrocarbon reservoir rock from the Permian Basin, southeastern New Mexico USA. In: Turner, P. and Turner, A. (eds) </w:t>
      </w:r>
      <w:r>
        <w:rPr>
          <w:i w:val="1"/>
          <w:iCs w:val="1"/>
          <w:rtl w:val="0"/>
          <w:lang w:val="en-US"/>
        </w:rPr>
        <w:t>Palaeomagnetic Applications in Hydrocarbon Exporation.</w:t>
      </w:r>
      <w:r>
        <w:rPr>
          <w:rtl w:val="0"/>
          <w:lang w:val="en-US"/>
        </w:rPr>
        <w:t xml:space="preserve"> Geological Society, London, Special Publications, 98, 79-95.</w:t>
      </w:r>
    </w:p>
    <w:p>
      <w:pPr>
        <w:pStyle w:val="Βασικό"/>
        <w:spacing w:line="432" w:lineRule="auto"/>
        <w:ind w:left="90" w:firstLine="0"/>
        <w:jc w:val="both"/>
      </w:pPr>
    </w:p>
    <w:p>
      <w:pPr>
        <w:pStyle w:val="Βασικό"/>
        <w:spacing w:line="432" w:lineRule="auto"/>
        <w:jc w:val="both"/>
        <w:rPr>
          <w:u w:val="single"/>
        </w:rPr>
      </w:pPr>
      <w:r>
        <w:rPr>
          <w:u w:val="single"/>
          <w:rtl w:val="0"/>
        </w:rPr>
        <w:t>Ελληνική Βιβλιογραφία</w:t>
      </w:r>
    </w:p>
    <w:p>
      <w:pPr>
        <w:pStyle w:val="Βασικό"/>
        <w:spacing w:line="432" w:lineRule="auto"/>
        <w:ind w:left="720" w:hanging="720"/>
        <w:jc w:val="both"/>
        <w:rPr>
          <w:i w:val="1"/>
          <w:iCs w:val="1"/>
        </w:rPr>
      </w:pPr>
      <w:r>
        <w:rPr>
          <w:rtl w:val="0"/>
        </w:rPr>
        <w:t>Παπαδόπουλος</w:t>
      </w:r>
      <w:r>
        <w:rPr>
          <w:rtl w:val="0"/>
        </w:rPr>
        <w:t xml:space="preserve">, </w:t>
      </w:r>
      <w:r>
        <w:rPr>
          <w:rtl w:val="0"/>
        </w:rPr>
        <w:t>Ε</w:t>
      </w:r>
      <w:r>
        <w:rPr>
          <w:rtl w:val="0"/>
        </w:rPr>
        <w:t xml:space="preserve">., 1997.  </w:t>
      </w:r>
      <w:r>
        <w:rPr>
          <w:rtl w:val="0"/>
        </w:rPr>
        <w:t>Μαγνητικές ιδιότητες ορυκτών και εφαρμογές τους στην γεωλογία και αρχαιολογία</w:t>
      </w:r>
      <w:r>
        <w:rPr>
          <w:rtl w:val="0"/>
        </w:rPr>
        <w:t xml:space="preserve">. </w:t>
      </w:r>
      <w:r>
        <w:rPr>
          <w:i w:val="1"/>
          <w:iCs w:val="1"/>
          <w:rtl w:val="0"/>
        </w:rPr>
        <w:t>Διδακτορική Διατριβή</w:t>
      </w:r>
      <w:r>
        <w:rPr>
          <w:i w:val="1"/>
          <w:iCs w:val="1"/>
          <w:rtl w:val="0"/>
        </w:rPr>
        <w:t xml:space="preserve">, </w:t>
      </w:r>
      <w:r>
        <w:rPr>
          <w:i w:val="1"/>
          <w:iCs w:val="1"/>
          <w:rtl w:val="0"/>
        </w:rPr>
        <w:t>Τμήμα Γεωλογίας Α</w:t>
      </w:r>
      <w:r>
        <w:rPr>
          <w:i w:val="1"/>
          <w:iCs w:val="1"/>
          <w:rtl w:val="0"/>
        </w:rPr>
        <w:t>.</w:t>
      </w:r>
      <w:r>
        <w:rPr>
          <w:i w:val="1"/>
          <w:iCs w:val="1"/>
          <w:rtl w:val="0"/>
        </w:rPr>
        <w:t>Π</w:t>
      </w:r>
      <w:r>
        <w:rPr>
          <w:i w:val="1"/>
          <w:iCs w:val="1"/>
          <w:rtl w:val="0"/>
        </w:rPr>
        <w:t>.</w:t>
      </w:r>
      <w:r>
        <w:rPr>
          <w:i w:val="1"/>
          <w:iCs w:val="1"/>
          <w:rtl w:val="0"/>
        </w:rPr>
        <w:t>Θ</w:t>
      </w:r>
      <w:r>
        <w:rPr>
          <w:i w:val="1"/>
          <w:iCs w:val="1"/>
          <w:rtl w:val="0"/>
        </w:rPr>
        <w:t xml:space="preserve">., </w:t>
      </w:r>
      <w:r>
        <w:rPr>
          <w:i w:val="1"/>
          <w:iCs w:val="1"/>
          <w:rtl w:val="0"/>
        </w:rPr>
        <w:t xml:space="preserve">Αριθμός Παραρτήματος Επιστημονικής Επατηρίδας Νο </w:t>
      </w:r>
      <w:r>
        <w:rPr>
          <w:i w:val="1"/>
          <w:iCs w:val="1"/>
          <w:rtl w:val="0"/>
        </w:rPr>
        <w:t xml:space="preserve">219, 321 </w:t>
      </w:r>
      <w:r>
        <w:rPr>
          <w:i w:val="1"/>
          <w:iCs w:val="1"/>
          <w:rtl w:val="0"/>
        </w:rPr>
        <w:t>σελ</w:t>
      </w:r>
      <w:r>
        <w:rPr>
          <w:i w:val="1"/>
          <w:iCs w:val="1"/>
          <w:rtl w:val="0"/>
        </w:rPr>
        <w:t>.</w:t>
      </w:r>
    </w:p>
    <w:p>
      <w:pPr>
        <w:pStyle w:val="Βασικό"/>
        <w:spacing w:line="432" w:lineRule="auto"/>
        <w:ind w:left="720" w:hanging="720"/>
        <w:jc w:val="both"/>
      </w:pPr>
      <w:r>
        <w:rPr>
          <w:rtl w:val="0"/>
        </w:rPr>
        <w:t>Παπαστεργίου</w:t>
      </w:r>
      <w:r>
        <w:rPr>
          <w:rtl w:val="0"/>
        </w:rPr>
        <w:t xml:space="preserve">, </w:t>
      </w:r>
      <w:r>
        <w:rPr>
          <w:rtl w:val="0"/>
        </w:rPr>
        <w:t>Μ</w:t>
      </w:r>
      <w:r>
        <w:rPr>
          <w:rtl w:val="0"/>
        </w:rPr>
        <w:t xml:space="preserve">., 2016. </w:t>
      </w:r>
      <w:r>
        <w:rPr>
          <w:rtl w:val="0"/>
        </w:rPr>
        <w:t>Τα Μαγνητικά Ορυκτά</w:t>
      </w:r>
      <w:r>
        <w:rPr>
          <w:rtl w:val="0"/>
        </w:rPr>
        <w:t xml:space="preserve">. </w:t>
      </w:r>
      <w:r>
        <w:rPr>
          <w:rtl w:val="0"/>
        </w:rPr>
        <w:t>Εκδόσεις</w:t>
      </w:r>
      <w:r>
        <w:rPr>
          <w:rtl w:val="0"/>
          <w:lang w:val="en-US"/>
        </w:rPr>
        <w:t xml:space="preserve"> </w:t>
      </w:r>
      <w:r>
        <w:rPr>
          <w:rtl w:val="0"/>
        </w:rPr>
        <w:t>Ζήτη</w:t>
      </w:r>
      <w:r>
        <w:rPr>
          <w:rtl w:val="0"/>
          <w:lang w:val="en-US"/>
        </w:rPr>
        <w:t xml:space="preserve">, </w:t>
      </w:r>
      <w:r>
        <w:rPr>
          <w:rtl w:val="0"/>
        </w:rPr>
        <w:t>Θεσσαλονίκη</w:t>
      </w:r>
      <w:r>
        <w:rPr>
          <w:rtl w:val="0"/>
          <w:lang w:val="en-US"/>
        </w:rPr>
        <w:t>.</w:t>
      </w:r>
    </w:p>
    <w:p>
      <w:pPr>
        <w:pStyle w:val="Βασικό"/>
        <w:spacing w:line="432" w:lineRule="auto"/>
        <w:ind w:left="90" w:firstLine="0"/>
        <w:jc w:val="both"/>
      </w:pPr>
    </w:p>
    <w:p>
      <w:pPr>
        <w:pStyle w:val="Βασικό"/>
        <w:spacing w:line="432" w:lineRule="auto"/>
        <w:ind w:left="90" w:firstLine="0"/>
        <w:jc w:val="both"/>
        <w:rPr>
          <w:u w:val="single"/>
        </w:rPr>
      </w:pPr>
      <w:r>
        <w:rPr>
          <w:u w:val="single"/>
          <w:rtl w:val="0"/>
        </w:rPr>
        <w:t>Διαδικτυακές</w:t>
      </w:r>
      <w:r>
        <w:rPr>
          <w:u w:val="single"/>
          <w:rtl w:val="0"/>
          <w:lang w:val="en-US"/>
        </w:rPr>
        <w:t xml:space="preserve"> </w:t>
      </w:r>
      <w:r>
        <w:rPr>
          <w:u w:val="single"/>
          <w:rtl w:val="0"/>
        </w:rPr>
        <w:t>Πηγές</w:t>
      </w:r>
    </w:p>
    <w:p>
      <w:pPr>
        <w:pStyle w:val="Βασικό"/>
        <w:spacing w:line="432" w:lineRule="auto"/>
        <w:ind w:left="90" w:firstLine="0"/>
        <w:jc w:val="both"/>
      </w:pPr>
      <w:r>
        <w:rPr>
          <w:rtl w:val="0"/>
          <w:lang w:val="en-US"/>
        </w:rPr>
        <w:t xml:space="preserve">International Geomagnetic Reference Field (IGRF), 2009, </w:t>
      </w:r>
      <w:r>
        <w:rPr>
          <w:rStyle w:val="Hyperlink.0"/>
          <w:outline w:val="0"/>
          <w:color w:val="0000ff"/>
          <w:u w:val="single" w:color="0000ff"/>
          <w:lang w:val="en-US"/>
          <w14:textFill>
            <w14:solidFill>
              <w14:srgbClr w14:val="0000FF"/>
            </w14:solidFill>
          </w14:textFill>
        </w:rPr>
        <w:fldChar w:fldCharType="begin" w:fldLock="0"/>
      </w:r>
      <w:r>
        <w:rPr>
          <w:rStyle w:val="Hyperlink.0"/>
          <w:outline w:val="0"/>
          <w:color w:val="0000ff"/>
          <w:u w:val="single" w:color="0000ff"/>
          <w:lang w:val="en-US"/>
          <w14:textFill>
            <w14:solidFill>
              <w14:srgbClr w14:val="0000FF"/>
            </w14:solidFill>
          </w14:textFill>
        </w:rPr>
        <w:instrText xml:space="preserve"> HYPERLINK "http://www.ngdc.noaa.gov/IAGA/vmod/igrf.html"</w:instrText>
      </w:r>
      <w:r>
        <w:rPr>
          <w:rStyle w:val="Hyperlink.0"/>
          <w:outline w:val="0"/>
          <w:color w:val="0000ff"/>
          <w:u w:val="single" w:color="0000ff"/>
          <w:lang w:val="en-US"/>
          <w14:textFill>
            <w14:solidFill>
              <w14:srgbClr w14:val="0000FF"/>
            </w14:solidFill>
          </w14:textFill>
        </w:rPr>
        <w:fldChar w:fldCharType="separate" w:fldLock="0"/>
      </w:r>
      <w:r>
        <w:rPr>
          <w:rStyle w:val="Hyperlink.0"/>
          <w:outline w:val="0"/>
          <w:color w:val="0000ff"/>
          <w:u w:val="single" w:color="0000ff"/>
          <w:rtl w:val="0"/>
          <w:lang w:val="en-US"/>
          <w14:textFill>
            <w14:solidFill>
              <w14:srgbClr w14:val="0000FF"/>
            </w14:solidFill>
          </w14:textFill>
        </w:rPr>
        <w:t>http://www.ngdc.noaa.gov/IAGA/vmod/igrf.html</w:t>
      </w:r>
      <w:r>
        <w:rPr/>
        <w:fldChar w:fldCharType="end" w:fldLock="0"/>
      </w:r>
      <w:r>
        <w:rPr>
          <w:rStyle w:val="Κανένα"/>
          <w:rtl w:val="0"/>
          <w:lang w:val="en-US"/>
        </w:rPr>
        <w:t xml:space="preserve"> (</w:t>
      </w:r>
      <w:r>
        <w:rPr>
          <w:rStyle w:val="Κανένα"/>
          <w:rtl w:val="0"/>
        </w:rPr>
        <w:t>ανακτήθηκε</w:t>
      </w:r>
      <w:r>
        <w:rPr>
          <w:rStyle w:val="Κανένα"/>
          <w:rtl w:val="0"/>
          <w:lang w:val="en-US"/>
        </w:rPr>
        <w:t xml:space="preserve"> </w:t>
      </w:r>
      <w:r>
        <w:rPr>
          <w:rStyle w:val="Κανένα"/>
          <w:rtl w:val="0"/>
        </w:rPr>
        <w:t>την</w:t>
      </w:r>
      <w:r>
        <w:rPr>
          <w:rStyle w:val="Κανένα"/>
          <w:rtl w:val="0"/>
          <w:lang w:val="en-US"/>
        </w:rPr>
        <w:t xml:space="preserve"> 23-02-2016)</w:t>
      </w:r>
    </w:p>
    <w:p>
      <w:pPr>
        <w:pStyle w:val="Βασικό"/>
        <w:spacing w:line="432" w:lineRule="auto"/>
        <w:ind w:left="720" w:hanging="720"/>
        <w:jc w:val="both"/>
      </w:pPr>
      <w:r>
        <w:rPr>
          <w:rStyle w:val="Κανένα"/>
          <w:b w:val="1"/>
          <w:bCs w:val="1"/>
        </w:rPr>
      </w:r>
    </w:p>
    <w:sectPr>
      <w:headerReference w:type="default" r:id="rId5"/>
      <w:headerReference w:type="even" r:id="rId6"/>
      <w:footerReference w:type="default" r:id="rId7"/>
      <w:footerReference w:type="even" r:id="rId8"/>
      <w:pgSz w:w="12240" w:h="15840" w:orient="portrait"/>
      <w:pgMar w:top="1440" w:right="1800" w:bottom="1440" w:left="180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Υποσέλιδο"/>
      <w:tabs>
        <w:tab w:val="right" w:pos="8620"/>
        <w:tab w:val="clear" w:pos="864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Υποσέλιδο"/>
      <w:tabs>
        <w:tab w:val="right" w:pos="8620"/>
        <w:tab w:val="clear" w:pos="864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w:tabs>
        <w:tab w:val="left" w:pos="2580"/>
        <w:tab w:val="left" w:pos="2985"/>
      </w:tabs>
      <w:spacing w:after="120" w:line="276" w:lineRule="auto"/>
      <w:rPr>
        <w:b w:val="1"/>
        <w:bCs w:val="1"/>
        <w:outline w:val="0"/>
        <w:color w:val="1f497d"/>
        <w:sz w:val="28"/>
        <w:szCs w:val="28"/>
        <w:u w:color="1f497d"/>
        <w14:textFill>
          <w14:solidFill>
            <w14:srgbClr w14:val="1F497D"/>
          </w14:solidFill>
        </w14:textFill>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295275</wp:posOffset>
              </wp:positionH>
              <wp:positionV relativeFrom="page">
                <wp:posOffset>180975</wp:posOffset>
              </wp:positionV>
              <wp:extent cx="7181850" cy="552450"/>
              <wp:effectExtent l="0" t="2458263" r="0" b="2458263"/>
              <wp:wrapNone/>
              <wp:docPr id="1073741825" name="officeArt object" descr="πρότυπο εμφάνισης κειμένου"/>
              <wp:cNvGraphicFramePr/>
              <a:graphic xmlns:a="http://schemas.openxmlformats.org/drawingml/2006/main">
                <a:graphicData uri="http://schemas.microsoft.com/office/word/2010/wordprocessingShape">
                  <wps:wsp>
                    <wps:cNvSpPr txBox="1"/>
                    <wps:spPr>
                      <a:xfrm rot="18900000">
                        <a:off x="0" y="0"/>
                        <a:ext cx="7181850" cy="552450"/>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s>
                            <w:jc w:val="center"/>
                          </w:pPr>
                          <w:r>
                            <w:rPr>
                              <w:rFonts w:ascii="Times New Roman" w:hAnsi="Times New Roman" w:hint="default"/>
                              <w:outline w:val="0"/>
                              <w:color w:val="c0c0c0"/>
                              <w:sz w:val="42"/>
                              <w:szCs w:val="42"/>
                              <w:rtl w:val="0"/>
                              <w14:textFill>
                                <w14:solidFill>
                                  <w14:srgbClr w14:val="C0C0C0">
                                    <w14:alpha w14:val="50000"/>
                                  </w14:srgbClr>
                                </w14:solidFill>
                              </w14:textFill>
                            </w:rPr>
                            <w:t>πρότυπο εμφάνισης κειμένου</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23.2pt;margin-top:14.2pt;width:565.5pt;height:43.5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s>
                      <w:jc w:val="center"/>
                    </w:pPr>
                    <w:r>
                      <w:rPr>
                        <w:rFonts w:ascii="Times New Roman" w:hAnsi="Times New Roman" w:hint="default"/>
                        <w:outline w:val="0"/>
                        <w:color w:val="c0c0c0"/>
                        <w:sz w:val="42"/>
                        <w:szCs w:val="42"/>
                        <w:rtl w:val="0"/>
                        <w14:textFill>
                          <w14:solidFill>
                            <w14:srgbClr w14:val="C0C0C0">
                              <w14:alpha w14:val="50000"/>
                            </w14:srgbClr>
                          </w14:solidFill>
                        </w14:textFill>
                      </w:rPr>
                      <w:t>πρότυπο εμφάνισης κειμένου</w:t>
                    </w:r>
                  </w:p>
                </w:txbxContent>
              </v:textbox>
              <w10:wrap type="none" side="bothSides" anchorx="page" anchory="page"/>
            </v:shape>
          </w:pict>
        </mc:Fallback>
      </mc:AlternateContent>
    </w:r>
  </w:p>
  <w:p>
    <w:pPr>
      <w:pStyle w:val="Κεφαλίδα"/>
      <w:tabs>
        <w:tab w:val="left" w:pos="2580"/>
        <w:tab w:val="left" w:pos="2985"/>
      </w:tabs>
      <w:spacing w:after="120" w:line="276" w:lineRule="auto"/>
      <w:jc w:val="right"/>
    </w:pPr>
    <w:r>
      <w:rPr>
        <w:rtl w:val="0"/>
      </w:rPr>
      <w:t>Εισαγωγή</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295275</wp:posOffset>
              </wp:positionH>
              <wp:positionV relativeFrom="page">
                <wp:posOffset>180975</wp:posOffset>
              </wp:positionV>
              <wp:extent cx="7181850" cy="552450"/>
              <wp:effectExtent l="0" t="2458263" r="0" b="2458263"/>
              <wp:wrapNone/>
              <wp:docPr id="1073741826" name="officeArt object" descr="πρότυπο εμφάνισης κειμένου"/>
              <wp:cNvGraphicFramePr/>
              <a:graphic xmlns:a="http://schemas.openxmlformats.org/drawingml/2006/main">
                <a:graphicData uri="http://schemas.microsoft.com/office/word/2010/wordprocessingShape">
                  <wps:wsp>
                    <wps:cNvSpPr txBox="1"/>
                    <wps:spPr>
                      <a:xfrm rot="18900000">
                        <a:off x="0" y="0"/>
                        <a:ext cx="7181850" cy="552450"/>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s>
                            <w:jc w:val="center"/>
                          </w:pPr>
                          <w:r>
                            <w:rPr>
                              <w:rFonts w:ascii="Times New Roman" w:hAnsi="Times New Roman" w:hint="default"/>
                              <w:outline w:val="0"/>
                              <w:color w:val="c0c0c0"/>
                              <w:sz w:val="42"/>
                              <w:szCs w:val="42"/>
                              <w:rtl w:val="0"/>
                              <w14:textFill>
                                <w14:solidFill>
                                  <w14:srgbClr w14:val="C0C0C0">
                                    <w14:alpha w14:val="50000"/>
                                  </w14:srgbClr>
                                </w14:solidFill>
                              </w14:textFill>
                            </w:rPr>
                            <w:t>πρότυπο εμφάνισης κειμένου</w:t>
                          </w:r>
                        </w:p>
                      </w:txbxContent>
                    </wps:txbx>
                    <wps:bodyPr wrap="square" lIns="0" tIns="0" rIns="0" bIns="0" numCol="1" anchor="ctr">
                      <a:normAutofit fontScale="100000" lnSpcReduction="0"/>
                    </wps:bodyPr>
                  </wps:wsp>
                </a:graphicData>
              </a:graphic>
            </wp:anchor>
          </w:drawing>
        </mc:Choice>
        <mc:Fallback>
          <w:pict>
            <v:shape id="_x0000_s1027" type="#_x0000_t202" style="visibility:visible;position:absolute;margin-left:23.2pt;margin-top:14.2pt;width:565.5pt;height:43.5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s>
                      <w:jc w:val="center"/>
                    </w:pPr>
                    <w:r>
                      <w:rPr>
                        <w:rFonts w:ascii="Times New Roman" w:hAnsi="Times New Roman" w:hint="default"/>
                        <w:outline w:val="0"/>
                        <w:color w:val="c0c0c0"/>
                        <w:sz w:val="42"/>
                        <w:szCs w:val="42"/>
                        <w:rtl w:val="0"/>
                        <w14:textFill>
                          <w14:solidFill>
                            <w14:srgbClr w14:val="C0C0C0">
                              <w14:alpha w14:val="50000"/>
                            </w14:srgbClr>
                          </w14:solidFill>
                        </w14:textFill>
                      </w:rPr>
                      <w:t>πρότυπο εμφάνισης κειμένου</w:t>
                    </w:r>
                  </w:p>
                </w:txbxContent>
              </v:textbox>
              <w10:wrap type="none" side="bothSides" anchorx="page" anchory="page"/>
            </v:shape>
          </w:pict>
        </mc:Fallback>
      </mc:AlternateContent>
    </w:r>
    <w:r>
      <w:rPr>
        <w:rtl w:val="0"/>
      </w:rPr>
      <w:t>Εισαγωγή</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Εισήχθηκε το στιλ 1"/>
  </w:abstractNum>
  <w:abstractNum w:abstractNumId="1">
    <w:multiLevelType w:val="hybridMultilevel"/>
    <w:styleLink w:val="Εισήχθηκε το στιλ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Εισήχθηκε το στιλ 2"/>
  </w:abstractNum>
  <w:abstractNum w:abstractNumId="3">
    <w:multiLevelType w:val="hybridMultilevel"/>
    <w:styleLink w:val="Εισήχθηκε το στιλ 2"/>
    <w:lvl w:ilvl="0">
      <w:start w:val="1"/>
      <w:numFmt w:val="decimal"/>
      <w:suff w:val="tab"/>
      <w:lvlText w:val="%1."/>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εφαλίδα">
    <w:name w:val="Κεφαλίδα"/>
    <w:next w:val="Κεφαλίδα"/>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Arial Unicode MS" w:hAnsi="Cambria" w:eastAsia="Arial Unicode MS" w:hint="default"/>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Υποσέλιδο">
    <w:name w:val="Υποσέλιδο"/>
    <w:next w:val="Υποσέλιδο"/>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Βασικό">
    <w:name w:val="Βασικό"/>
    <w:next w:val="Βασικό"/>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Επικεφαλίδα 2">
    <w:name w:val="Επικεφαλίδα 2"/>
    <w:next w:val="Βασικό"/>
    <w:pPr>
      <w:keepNext w:val="1"/>
      <w:keepLines w:val="0"/>
      <w:pageBreakBefore w:val="0"/>
      <w:widowControl w:val="1"/>
      <w:shd w:val="clear" w:color="auto" w:fill="auto"/>
      <w:suppressAutoHyphens w:val="0"/>
      <w:bidi w:val="0"/>
      <w:spacing w:before="0" w:after="0" w:line="360" w:lineRule="auto"/>
      <w:ind w:left="0" w:right="0" w:firstLine="0"/>
      <w:jc w:val="both"/>
      <w:outlineLvl w:val="1"/>
    </w:pPr>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Επικεφαλίδα 1">
    <w:name w:val="Επικεφαλίδα 1"/>
    <w:next w:val="Βασικό"/>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numbering" w:styleId="Εισήχθηκε το στιλ 1">
    <w:name w:val="Εισήχθηκε το στιλ 1"/>
    <w:pPr>
      <w:numPr>
        <w:numId w:val="1"/>
      </w:numPr>
    </w:pPr>
  </w:style>
  <w:style w:type="numbering" w:styleId="Εισήχθηκε το στιλ 2">
    <w:name w:val="Εισήχθηκε το στιλ 2"/>
    <w:pPr>
      <w:numPr>
        <w:numId w:val="3"/>
      </w:numPr>
    </w:pPr>
  </w:style>
  <w:style w:type="paragraph" w:styleId="Λεζάντα">
    <w:name w:val="Λεζάντα"/>
    <w:next w:val="Βασικό"/>
    <w:pPr>
      <w:keepNext w:val="0"/>
      <w:keepLines w:val="0"/>
      <w:pageBreakBefore w:val="0"/>
      <w:widowControl w:val="1"/>
      <w:shd w:val="clear" w:color="auto" w:fill="auto"/>
      <w:suppressAutoHyphens w:val="0"/>
      <w:bidi w:val="0"/>
      <w:spacing w:before="0" w:after="0" w:line="360" w:lineRule="auto"/>
      <w:ind w:left="0" w:right="0" w:firstLine="0"/>
      <w:jc w:val="both"/>
      <w:outlineLvl w:val="9"/>
    </w:pP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Κανένα">
    <w:name w:val="Κανένα"/>
  </w:style>
  <w:style w:type="character" w:styleId="Hyperlink.0">
    <w:name w:val="Hyperlink.0"/>
    <w:basedOn w:val="Κανένα"/>
    <w:next w:val="Hyperlink.0"/>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